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4312C" w14:textId="170D3C9F" w:rsidR="00144757" w:rsidRPr="008D6033" w:rsidRDefault="00EC724C" w:rsidP="008D6033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434229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0</w:t>
      </w:r>
      <w:r w:rsidR="008D603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636</w:t>
      </w:r>
      <w:r w:rsidR="00575B7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</w:t>
      </w:r>
      <w:r w:rsidR="001065F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  <w:r w:rsidR="001B77C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</w:p>
    <w:p w14:paraId="261ACDBB" w14:textId="77777777" w:rsidR="008D6033" w:rsidRDefault="008D6033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lang w:eastAsia="ar-SA"/>
        </w:rPr>
      </w:pPr>
    </w:p>
    <w:p w14:paraId="49943060" w14:textId="5EB58C64" w:rsidR="006C4F43" w:rsidRDefault="006774C1" w:rsidP="008D6033">
      <w:pPr>
        <w:suppressAutoHyphens/>
        <w:spacing w:after="0" w:line="360" w:lineRule="auto"/>
        <w:jc w:val="center"/>
        <w:rPr>
          <w:rFonts w:eastAsia="Times New Roman" w:cs="Calibri"/>
          <w:kern w:val="1"/>
          <w:sz w:val="20"/>
          <w:szCs w:val="20"/>
          <w:lang w:eastAsia="ar-SA"/>
        </w:rPr>
      </w:pPr>
      <w:r w:rsidRPr="00144757">
        <w:rPr>
          <w:rFonts w:eastAsia="Times New Roman" w:cs="Calibri"/>
          <w:b/>
          <w:bCs/>
          <w:kern w:val="1"/>
          <w:lang w:eastAsia="ar-SA"/>
        </w:rPr>
        <w:t>RESPOSTA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AO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147E5D" w:rsidRPr="00144757">
        <w:rPr>
          <w:rFonts w:eastAsia="Times New Roman" w:cs="Calibri"/>
          <w:b/>
          <w:bCs/>
          <w:kern w:val="1"/>
          <w:lang w:eastAsia="ar-SA"/>
        </w:rPr>
        <w:t>RECURSO ADMINISTRATIVO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lang w:eastAsia="ar-SA"/>
        </w:rPr>
        <w:t>DA EMPRESA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8D6033">
        <w:rPr>
          <w:rFonts w:eastAsia="Times New Roman" w:cs="Calibri"/>
          <w:b/>
          <w:bCs/>
          <w:kern w:val="1"/>
          <w:lang w:eastAsia="ar-SA"/>
        </w:rPr>
        <w:t>ARQUIVOBRAS GESTÃO DE DOCUMENTOS EIRELI - ME</w:t>
      </w:r>
    </w:p>
    <w:p w14:paraId="5510A79E" w14:textId="77777777" w:rsidR="006C4F43" w:rsidRPr="00144757" w:rsidRDefault="006C4F43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7AFB42F1" w14:textId="77777777" w:rsidR="00144757" w:rsidRP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144422FF" w14:textId="1FC51F50" w:rsidR="00F65AB1" w:rsidRDefault="00F65AB1" w:rsidP="003A0A0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No dia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17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març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202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às 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6</w:t>
      </w:r>
      <w:r w:rsidR="00AA5580">
        <w:rPr>
          <w:rFonts w:eastAsia="Times New Roman" w:cs="Calibri"/>
          <w:bCs/>
          <w:kern w:val="1"/>
          <w:sz w:val="24"/>
          <w:szCs w:val="24"/>
          <w:lang w:eastAsia="ar-SA"/>
        </w:rPr>
        <w:t>h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53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foi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E-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- UDESC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ADMINISTRATIVO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032B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resultado d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 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classificação do Pregão </w:t>
      </w:r>
      <w:r w:rsidR="00B87B1F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eletrônico</w:t>
      </w:r>
      <w:r w:rsidR="00EC724C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0636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/202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ARQUIVOBRAS GESTÃO DE DOCUMENTOS EIRELI - ME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inscrita no CNPJ nº 31.006.147/0001-12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sendo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recorrida a 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IDEAL ENCADERNAÇÕES LTDA - ME</w:t>
      </w:r>
      <w:r w:rsidR="003A0A0B" w:rsidRPr="003A0A0B">
        <w:rPr>
          <w:rFonts w:eastAsia="Times New Roman" w:cs="Calibri"/>
          <w:bCs/>
          <w:kern w:val="1"/>
          <w:sz w:val="24"/>
          <w:szCs w:val="24"/>
          <w:lang w:eastAsia="ar-SA"/>
        </w:rPr>
        <w:t>, inscrita no CNPJ nº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04.698.419/0001-10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; 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seguindo os trâmites dispostos no edital em epígrafe, e sob a qual passamos a nos posicionar,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conforme determinação do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§ 4º,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art.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109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Lei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8.666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/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93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inciso XVIII, art. 4º, da Lei 10.520/02.</w:t>
      </w:r>
    </w:p>
    <w:p w14:paraId="14FF4577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20189BE2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6B20E2AC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67A4DBD0" w14:textId="77777777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 Recurso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ou seja, apreciar se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mesm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3A91BA2B" w14:textId="77777777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039FC3EA" w14:textId="77777777" w:rsidR="003429D5" w:rsidRPr="003429D5" w:rsidRDefault="003B054C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3B054C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 motivada no prazo de 30 minutos, em campo próprio do Sistema, sendo-lhe concedido o prazo de 03 (três) dias para a apresentação das razões do recurso, ficando os demais licitantes, desde logo, intimados a apresentar contrarrazões em igual número de dias, que começarão a correr do término do prazo da recorrente, sendo-lhes assegurada vista dos autos.</w:t>
      </w:r>
    </w:p>
    <w:p w14:paraId="232B95A4" w14:textId="77777777" w:rsidR="0052083C" w:rsidRDefault="0052083C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A187FCE" w14:textId="301FEEB6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 intenç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ão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 em sessão do dia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17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52083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no dia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21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202</w:t>
      </w:r>
      <w:r w:rsidR="0052083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 seja,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L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ogo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merece ter seu mérito analisado pel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Pregoeir</w:t>
      </w:r>
      <w:r w:rsidR="008D6033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. </w:t>
      </w:r>
    </w:p>
    <w:p w14:paraId="78EBE9C2" w14:textId="77777777" w:rsidR="00876D45" w:rsidRPr="00144757" w:rsidRDefault="00876D45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2AFB844D" w14:textId="54157A02" w:rsidR="00D1022A" w:rsidRPr="008D6033" w:rsidRDefault="00121A8E" w:rsidP="008D603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0E0F53D8" w14:textId="77777777" w:rsidR="00121A8E" w:rsidRPr="00AA5580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</w:t>
      </w:r>
      <w:r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cientificados da existência e trâmite do Recurso Administrativo interposto, conforme </w:t>
      </w:r>
      <w:r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lastRenderedPageBreak/>
        <w:t xml:space="preserve">comprovam os documentos acostados </w:t>
      </w:r>
      <w:r w:rsidR="00D1022A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2209D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209D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735122FA" w14:textId="23BB3E92" w:rsidR="00B12C59" w:rsidRPr="00AA5580" w:rsidRDefault="008D6033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Sendo assim, no dia 24 de março de 2022, a empresa IDEAL ENCADERNAÇÕES LTDA – ME </w:t>
      </w:r>
      <w:r w:rsidR="00AA5580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tentou incluir, sem sucesso, suas contrarrazões no sistema E-</w:t>
      </w:r>
      <w:proofErr w:type="spellStart"/>
      <w:r w:rsidR="00AA5580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Lic</w:t>
      </w:r>
      <w:proofErr w:type="spellEnd"/>
      <w:r w:rsidR="00AA5580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 qual informava mensagem de erro. A empresa encaminhou </w:t>
      </w:r>
      <w:r w:rsidR="006B7B5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então </w:t>
      </w:r>
      <w:r w:rsidR="00AA5580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suas alegações no mesmo dia, as 16h24 para o e-mail </w:t>
      </w:r>
      <w:hyperlink r:id="rId7" w:history="1">
        <w:r w:rsidR="00AA5580" w:rsidRPr="00AA5580">
          <w:rPr>
            <w:rStyle w:val="Hyperlink"/>
            <w:rFonts w:eastAsia="Times New Roman" w:cs="Calibri"/>
            <w:bCs/>
            <w:color w:val="auto"/>
            <w:kern w:val="1"/>
            <w:sz w:val="24"/>
            <w:szCs w:val="24"/>
            <w:lang w:eastAsia="ar-SA"/>
          </w:rPr>
          <w:t>licita@udesc.br</w:t>
        </w:r>
      </w:hyperlink>
      <w:r w:rsidR="00AA5580" w:rsidRPr="00AA5580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1335A525" w14:textId="77777777" w:rsidR="00AA5580" w:rsidRPr="00144757" w:rsidRDefault="00AA5580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AB7D7EB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49E31907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07401CF0" w14:textId="60E3E582" w:rsidR="006B7B55" w:rsidRDefault="006774C1" w:rsidP="003E1018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B7B55">
        <w:rPr>
          <w:rFonts w:eastAsia="Times New Roman" w:cs="Calibri"/>
          <w:bCs/>
          <w:kern w:val="1"/>
          <w:sz w:val="24"/>
          <w:szCs w:val="24"/>
          <w:lang w:eastAsia="ar-SA"/>
        </w:rPr>
        <w:t>ARQUIVOBRAS GESTÃO DE DOCUMENTOS EIRELI - ME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972478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ite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ns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sua peça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são: </w:t>
      </w:r>
    </w:p>
    <w:p w14:paraId="54B63D43" w14:textId="29EF8408" w:rsidR="00B12C59" w:rsidRDefault="006B7B55" w:rsidP="006B7B5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  <w:t xml:space="preserve">A empresa vem requerer reforma na decisão que a desclassificou para o LOTE 01 do certame por conta dos atestados de capacidade técnica apresentados, </w:t>
      </w:r>
      <w:proofErr w:type="spellStart"/>
      <w:r>
        <w:rPr>
          <w:rFonts w:eastAsia="Times New Roman" w:cs="Calibri"/>
          <w:bCs/>
          <w:kern w:val="1"/>
          <w:sz w:val="24"/>
          <w:szCs w:val="24"/>
          <w:lang w:eastAsia="ar-SA"/>
        </w:rPr>
        <w:t>restaurando-lhe</w:t>
      </w:r>
      <w:proofErr w:type="spellEnd"/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direito à contratação.</w:t>
      </w:r>
    </w:p>
    <w:p w14:paraId="64A8FB46" w14:textId="7B7FF3D1" w:rsidR="003E1018" w:rsidRDefault="003E1018" w:rsidP="006B7B5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  <w:t>Afirma que o atestado de capacidade técnica apresentado “atende integralmente todos os 21 subitens do Termo de Referência em suas características”.</w:t>
      </w:r>
    </w:p>
    <w:p w14:paraId="58776EDA" w14:textId="4FCC04E0" w:rsidR="006B7B55" w:rsidRDefault="006B7B55" w:rsidP="006B7B5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  <w:t xml:space="preserve">Esclarece </w:t>
      </w:r>
      <w:r w:rsidR="003E101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ainda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que sua empresa é registrada no Conselho Regional de Biblioteconomia e possui em seu quadro 04 arquivistas e 01 bibliotecário para execução e procedimento de todos os itens elencados neste processo licitatório.</w:t>
      </w:r>
    </w:p>
    <w:p w14:paraId="623EF1D9" w14:textId="77777777" w:rsidR="00972478" w:rsidRPr="00144757" w:rsidRDefault="00972478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2696616" w14:textId="055CC03C" w:rsidR="00925675" w:rsidRPr="003E1018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0439488E" w14:textId="613D7494" w:rsidR="00CC1F45" w:rsidRDefault="003E1018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  <w:t>Após leitura, análise e considerações realizadas pel</w:t>
      </w:r>
      <w:r w:rsidR="00CB4AC2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Responsável Técnic</w:t>
      </w:r>
      <w:r w:rsidR="00CB4AC2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processo, passamos a nos posicionar:</w:t>
      </w:r>
    </w:p>
    <w:p w14:paraId="6C910760" w14:textId="77777777" w:rsidR="00D12830" w:rsidRDefault="0043422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</w:r>
      <w:r w:rsidR="00D12830">
        <w:rPr>
          <w:rFonts w:eastAsia="Times New Roman" w:cs="Calibri"/>
          <w:bCs/>
          <w:kern w:val="1"/>
          <w:sz w:val="24"/>
          <w:szCs w:val="24"/>
          <w:lang w:eastAsia="ar-SA"/>
        </w:rPr>
        <w:t>O item 2 do Anexo I do Edital do certame traz como especificações e descrição do serviço a ser contratado pela UDESC as seguintes informações:</w:t>
      </w:r>
    </w:p>
    <w:p w14:paraId="411F434E" w14:textId="4BEED511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2.1. </w:t>
      </w:r>
      <w:r w:rsidRPr="00D12830">
        <w:rPr>
          <w:rFonts w:ascii="Calibri" w:hAnsi="Calibri" w:cs="Arial"/>
          <w:sz w:val="20"/>
          <w:szCs w:val="20"/>
        </w:rPr>
        <w:t xml:space="preserve">Brochura simples – Higienização geral,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6765DFE6" w14:textId="52F448F1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2.2. </w:t>
      </w:r>
      <w:r w:rsidRPr="00D12830">
        <w:rPr>
          <w:rFonts w:ascii="Calibri" w:hAnsi="Calibri" w:cs="Arial"/>
          <w:sz w:val="20"/>
          <w:szCs w:val="20"/>
        </w:rPr>
        <w:t xml:space="preserve">Lombada - Higienização geral, remoção de partes danificadas com aplicação de cantoneiras e lombada,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4A4B6F38" w14:textId="27F5F6B4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2.3. </w:t>
      </w:r>
      <w:r w:rsidRPr="00D12830">
        <w:rPr>
          <w:rFonts w:ascii="Calibri" w:hAnsi="Calibri" w:cs="Arial"/>
          <w:sz w:val="20"/>
          <w:szCs w:val="20"/>
        </w:rPr>
        <w:t>Capa dura hot-</w:t>
      </w:r>
      <w:proofErr w:type="spellStart"/>
      <w:r w:rsidRPr="00D12830">
        <w:rPr>
          <w:rFonts w:ascii="Calibri" w:hAnsi="Calibri" w:cs="Arial"/>
          <w:sz w:val="20"/>
          <w:szCs w:val="20"/>
        </w:rPr>
        <w:t>stamp</w:t>
      </w:r>
      <w:proofErr w:type="spellEnd"/>
      <w:r w:rsidRPr="00D12830">
        <w:rPr>
          <w:rFonts w:ascii="Calibri" w:hAnsi="Calibri" w:cs="Arial"/>
          <w:sz w:val="20"/>
          <w:szCs w:val="20"/>
        </w:rPr>
        <w:t xml:space="preserve"> - Higienização geral, confecção e colocação de nova capa dura com impressão hot-</w:t>
      </w:r>
      <w:proofErr w:type="spellStart"/>
      <w:r w:rsidRPr="00D12830">
        <w:rPr>
          <w:rFonts w:ascii="Calibri" w:hAnsi="Calibri" w:cs="Arial"/>
          <w:sz w:val="20"/>
          <w:szCs w:val="20"/>
        </w:rPr>
        <w:t>stamp</w:t>
      </w:r>
      <w:proofErr w:type="spellEnd"/>
      <w:r w:rsidRPr="00D12830">
        <w:rPr>
          <w:rFonts w:ascii="Calibri" w:hAnsi="Calibri" w:cs="Arial"/>
          <w:sz w:val="20"/>
          <w:szCs w:val="20"/>
        </w:rPr>
        <w:t xml:space="preserve">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4AF68A10" w14:textId="5AFFF20E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2.4. </w:t>
      </w:r>
      <w:r w:rsidRPr="00D12830">
        <w:rPr>
          <w:rFonts w:ascii="Calibri" w:hAnsi="Calibri" w:cs="Arial"/>
          <w:sz w:val="20"/>
          <w:szCs w:val="20"/>
        </w:rPr>
        <w:t>Capa dura espelho - Higienização geral, confecção e colocação de nova capa dura com aproveitamento da capa original e impressão hot-</w:t>
      </w:r>
      <w:proofErr w:type="spellStart"/>
      <w:r w:rsidRPr="00D12830">
        <w:rPr>
          <w:rFonts w:ascii="Calibri" w:hAnsi="Calibri" w:cs="Arial"/>
          <w:sz w:val="20"/>
          <w:szCs w:val="20"/>
        </w:rPr>
        <w:t>stamp</w:t>
      </w:r>
      <w:proofErr w:type="spellEnd"/>
      <w:r w:rsidRPr="00D12830">
        <w:rPr>
          <w:rFonts w:ascii="Calibri" w:hAnsi="Calibri" w:cs="Arial"/>
          <w:sz w:val="20"/>
          <w:szCs w:val="20"/>
        </w:rPr>
        <w:t xml:space="preserve"> na lombada (quando </w:t>
      </w:r>
      <w:r w:rsidRPr="00D12830">
        <w:rPr>
          <w:rFonts w:ascii="Calibri" w:hAnsi="Calibri" w:cs="Arial"/>
          <w:sz w:val="20"/>
          <w:szCs w:val="20"/>
        </w:rPr>
        <w:lastRenderedPageBreak/>
        <w:t xml:space="preserve">aplicável),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6F1B7608" w14:textId="09B7703C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2.5. </w:t>
      </w:r>
      <w:r w:rsidRPr="00D12830">
        <w:rPr>
          <w:rFonts w:ascii="Calibri" w:hAnsi="Calibri" w:cs="Arial"/>
          <w:sz w:val="20"/>
          <w:szCs w:val="20"/>
        </w:rPr>
        <w:t xml:space="preserve">Capa dura digital - Higienização geral, confecção e colocação de nova capa dura com aproveitamento da capa original via digitalização,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0B8BF22B" w14:textId="65E77928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2.6. </w:t>
      </w:r>
      <w:r w:rsidRPr="00D12830">
        <w:rPr>
          <w:rFonts w:ascii="Calibri" w:hAnsi="Calibri" w:cs="Arial"/>
          <w:sz w:val="20"/>
          <w:szCs w:val="20"/>
        </w:rPr>
        <w:t xml:space="preserve">Brochura digital - Higienização geral, confecção e colocação de nova capa brochura com aproveitamento da capa original via digitalização, aplicação de novas guardas, </w:t>
      </w:r>
      <w:proofErr w:type="spellStart"/>
      <w:r w:rsidRPr="00D12830">
        <w:rPr>
          <w:rFonts w:ascii="Calibri" w:hAnsi="Calibri" w:cs="Arial"/>
          <w:sz w:val="20"/>
          <w:szCs w:val="20"/>
        </w:rPr>
        <w:t>aparação</w:t>
      </w:r>
      <w:proofErr w:type="spellEnd"/>
      <w:r w:rsidRPr="00D12830">
        <w:rPr>
          <w:rFonts w:ascii="Calibri" w:hAnsi="Calibri" w:cs="Arial"/>
          <w:sz w:val="20"/>
          <w:szCs w:val="20"/>
        </w:rPr>
        <w:t>, nova costura (quando aplicável), colagem reforçada.</w:t>
      </w:r>
    </w:p>
    <w:p w14:paraId="12D60669" w14:textId="14B9B0DE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2.7. </w:t>
      </w:r>
      <w:r w:rsidRPr="00D12830">
        <w:rPr>
          <w:rFonts w:ascii="Calibri" w:hAnsi="Calibri" w:cs="Arial"/>
          <w:sz w:val="20"/>
          <w:szCs w:val="20"/>
        </w:rPr>
        <w:t>Enxerto de folhas xerocadas.</w:t>
      </w:r>
    </w:p>
    <w:p w14:paraId="37C092C2" w14:textId="1942758B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2.8. </w:t>
      </w:r>
      <w:r w:rsidRPr="00D12830">
        <w:rPr>
          <w:rFonts w:ascii="Calibri" w:hAnsi="Calibri" w:cs="Arial"/>
          <w:sz w:val="20"/>
          <w:szCs w:val="20"/>
        </w:rPr>
        <w:t>Restauração a úmido c/ papel especial.</w:t>
      </w:r>
    </w:p>
    <w:p w14:paraId="71CAE12F" w14:textId="08F4F61F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2.9. </w:t>
      </w:r>
      <w:r w:rsidRPr="00D12830">
        <w:rPr>
          <w:rFonts w:ascii="Calibri" w:hAnsi="Calibri" w:cs="Arial"/>
          <w:sz w:val="20"/>
          <w:szCs w:val="20"/>
        </w:rPr>
        <w:t>Aplicação de carcelas.</w:t>
      </w:r>
    </w:p>
    <w:p w14:paraId="0F2DB792" w14:textId="612964FF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2.10. </w:t>
      </w:r>
      <w:r w:rsidRPr="00D12830">
        <w:rPr>
          <w:rFonts w:ascii="Calibri" w:hAnsi="Calibri" w:cs="Arial"/>
          <w:sz w:val="20"/>
          <w:szCs w:val="20"/>
        </w:rPr>
        <w:t>Remoção de fita adesiva.</w:t>
      </w:r>
    </w:p>
    <w:p w14:paraId="67E81A4D" w14:textId="442C3F91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2.11. </w:t>
      </w:r>
      <w:r w:rsidRPr="00D12830">
        <w:rPr>
          <w:rFonts w:ascii="Calibri" w:hAnsi="Calibri" w:cs="Arial"/>
          <w:sz w:val="20"/>
          <w:szCs w:val="20"/>
        </w:rPr>
        <w:t>Restauração, encadernação e higienização de obras raras e/ou documentos históricos.</w:t>
      </w:r>
    </w:p>
    <w:p w14:paraId="4E45FA00" w14:textId="69B365D3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2.12. </w:t>
      </w:r>
      <w:r w:rsidRPr="00D12830">
        <w:rPr>
          <w:rFonts w:ascii="Calibri" w:hAnsi="Calibri" w:cs="Arial"/>
          <w:sz w:val="20"/>
          <w:szCs w:val="20"/>
        </w:rPr>
        <w:t>Digitalização de livros e monografias - Fornecimento de cópia das obras em formato digital (PDF A – OCR) – em “pen drive” ou armazenamento em nuvem com período mínimo de 60 dias.</w:t>
      </w:r>
    </w:p>
    <w:p w14:paraId="6D94BFC4" w14:textId="6F0AFCF8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2.13. </w:t>
      </w:r>
      <w:r w:rsidRPr="00D12830">
        <w:rPr>
          <w:rFonts w:ascii="Calibri" w:hAnsi="Calibri" w:cs="Arial"/>
          <w:sz w:val="20"/>
          <w:szCs w:val="20"/>
        </w:rPr>
        <w:t xml:space="preserve">Digitalização de Mapas - Fornecimento de cópia de mapas em formato digital (PDF A – OCR e JPG). – </w:t>
      </w:r>
      <w:proofErr w:type="gramStart"/>
      <w:r w:rsidRPr="00D12830">
        <w:rPr>
          <w:rFonts w:ascii="Calibri" w:hAnsi="Calibri" w:cs="Arial"/>
          <w:sz w:val="20"/>
          <w:szCs w:val="20"/>
        </w:rPr>
        <w:t>em</w:t>
      </w:r>
      <w:proofErr w:type="gramEnd"/>
      <w:r w:rsidRPr="00D12830">
        <w:rPr>
          <w:rFonts w:ascii="Calibri" w:hAnsi="Calibri" w:cs="Arial"/>
          <w:sz w:val="20"/>
          <w:szCs w:val="20"/>
        </w:rPr>
        <w:t xml:space="preserve"> “pen drive” ou armazenamento em nuvem com período mínimo de 60 dias.</w:t>
      </w:r>
    </w:p>
    <w:p w14:paraId="7E8DC660" w14:textId="13AE63EF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2.</w:t>
      </w:r>
      <w:proofErr w:type="gramStart"/>
      <w:r>
        <w:rPr>
          <w:rFonts w:ascii="Calibri" w:hAnsi="Calibri" w:cs="Arial"/>
          <w:sz w:val="20"/>
          <w:szCs w:val="20"/>
        </w:rPr>
        <w:t>14.</w:t>
      </w:r>
      <w:r w:rsidRPr="00D12830">
        <w:rPr>
          <w:rFonts w:ascii="Calibri" w:hAnsi="Calibri" w:cs="Arial"/>
          <w:sz w:val="20"/>
          <w:szCs w:val="20"/>
        </w:rPr>
        <w:t>Para</w:t>
      </w:r>
      <w:proofErr w:type="gramEnd"/>
      <w:r w:rsidRPr="00D12830">
        <w:rPr>
          <w:rFonts w:ascii="Calibri" w:hAnsi="Calibri" w:cs="Arial"/>
          <w:sz w:val="20"/>
          <w:szCs w:val="20"/>
        </w:rPr>
        <w:t xml:space="preserve"> efeitos de tamanho, considera-se: </w:t>
      </w:r>
    </w:p>
    <w:p w14:paraId="20003A9A" w14:textId="77777777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 w:rsidRPr="00D12830">
        <w:rPr>
          <w:rFonts w:ascii="Calibri" w:hAnsi="Calibri" w:cs="Arial"/>
          <w:sz w:val="20"/>
          <w:szCs w:val="20"/>
        </w:rPr>
        <w:t xml:space="preserve">Pequeno = altura até 180mm; </w:t>
      </w:r>
    </w:p>
    <w:p w14:paraId="43D4E4CF" w14:textId="77777777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 w:rsidRPr="00D12830">
        <w:rPr>
          <w:rFonts w:ascii="Calibri" w:hAnsi="Calibri" w:cs="Arial"/>
          <w:sz w:val="20"/>
          <w:szCs w:val="20"/>
        </w:rPr>
        <w:t>Grande = altura acima de 180mm.</w:t>
      </w:r>
    </w:p>
    <w:p w14:paraId="595AC23F" w14:textId="243C7E4D" w:rsid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</w:p>
    <w:p w14:paraId="3FC60579" w14:textId="77777777" w:rsidR="00D12830" w:rsidRPr="00D12830" w:rsidRDefault="00D12830" w:rsidP="00D12830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</w:p>
    <w:p w14:paraId="293A6BA1" w14:textId="26C7466E" w:rsidR="0097687B" w:rsidRDefault="0097687B" w:rsidP="0097687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ab/>
        <w:t xml:space="preserve">Referente ao atestado de capacidade técnica exigido em edital que a licitante melhor classificada na fase de lances deveria apresentar, o item 6 do certame dispõe o seguinte: </w:t>
      </w:r>
    </w:p>
    <w:p w14:paraId="193CE165" w14:textId="5CD64B16" w:rsidR="0097687B" w:rsidRPr="0097687B" w:rsidRDefault="0097687B" w:rsidP="0097687B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6.1. </w:t>
      </w:r>
      <w:r w:rsidRPr="0097687B">
        <w:rPr>
          <w:rFonts w:ascii="Calibri" w:hAnsi="Calibri" w:cs="Arial"/>
          <w:b/>
          <w:sz w:val="20"/>
          <w:szCs w:val="20"/>
        </w:rPr>
        <w:t>Capacitação Operacional</w:t>
      </w:r>
      <w:r w:rsidRPr="0097687B">
        <w:rPr>
          <w:rFonts w:ascii="Calibri" w:hAnsi="Calibri" w:cs="Arial"/>
          <w:sz w:val="20"/>
          <w:szCs w:val="20"/>
        </w:rPr>
        <w:t>: Atestado(s) ou certidão(</w:t>
      </w:r>
      <w:proofErr w:type="spellStart"/>
      <w:r w:rsidRPr="0097687B">
        <w:rPr>
          <w:rFonts w:ascii="Calibri" w:hAnsi="Calibri" w:cs="Arial"/>
          <w:sz w:val="20"/>
          <w:szCs w:val="20"/>
        </w:rPr>
        <w:t>ões</w:t>
      </w:r>
      <w:proofErr w:type="spellEnd"/>
      <w:r w:rsidRPr="0097687B">
        <w:rPr>
          <w:rFonts w:ascii="Calibri" w:hAnsi="Calibri" w:cs="Arial"/>
          <w:sz w:val="20"/>
          <w:szCs w:val="20"/>
        </w:rPr>
        <w:t xml:space="preserve">) da empresa proponente por execução de serviços de características semelhantes ao do objeto desta Licitação, fornecido por pessoa jurídica de direito público ou privado (diversa da empresa proponente). </w:t>
      </w:r>
    </w:p>
    <w:p w14:paraId="30350F2F" w14:textId="77777777" w:rsidR="0097687B" w:rsidRDefault="0097687B" w:rsidP="0097687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C135438" w14:textId="37614254" w:rsidR="00D12830" w:rsidRDefault="0097687B" w:rsidP="00D1283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Os</w:t>
      </w:r>
      <w:r w:rsidR="00D12830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atestados de capacidade técnica apresentados pela empresa ARQUIVOBRAS GESTÃO DE DOCUMENTOS EIRELI demonstram que a empresa tem prestado serviços de: guarda e preservação de documentos, coleta e transferência, organização, classificação, hi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>gienização de documentos, triagem e seleção, digitalização, etc.</w:t>
      </w:r>
    </w:p>
    <w:p w14:paraId="1B352C81" w14:textId="7294D39F" w:rsidR="001E0A4A" w:rsidRDefault="001E0A4A" w:rsidP="00D1283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Pelas informações extraídas da documentação enviada, apenas a palavra </w:t>
      </w:r>
      <w:r w:rsidRPr="001E0A4A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higienização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é semelhante ao objeto da licitação, porém, refere-se a </w:t>
      </w:r>
      <w:r w:rsidRPr="001E0A4A"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  <w:t>documentos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e não livros. A empresa tenta contestar em seu recurso que realiza a recuperação de livros, mas esse serviço não teve comprovação em análise aos atestados de capacidade técnica enviados. </w:t>
      </w:r>
    </w:p>
    <w:p w14:paraId="6BC945A5" w14:textId="50E83803" w:rsidR="001E0A4A" w:rsidRDefault="001E0A4A" w:rsidP="00D1283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Por se tratar de licitação que visa a manutenção de acervo histórico de livros e obras da </w:t>
      </w:r>
      <w:r w:rsidRPr="00CB4AC2">
        <w:rPr>
          <w:rFonts w:eastAsia="Times New Roman" w:cs="Calibri"/>
          <w:b/>
          <w:kern w:val="1"/>
          <w:sz w:val="24"/>
          <w:szCs w:val="24"/>
          <w:lang w:eastAsia="ar-SA"/>
        </w:rPr>
        <w:t>Biblioteca da UDESC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torna-se fundamental que a empresa comprove ter habilidades na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lastRenderedPageBreak/>
        <w:t>prestação do serviço a ser executado</w:t>
      </w:r>
      <w:r w:rsidR="0097687B">
        <w:rPr>
          <w:rFonts w:eastAsia="Times New Roman" w:cs="Calibri"/>
          <w:bCs/>
          <w:kern w:val="1"/>
          <w:sz w:val="24"/>
          <w:szCs w:val="24"/>
          <w:lang w:eastAsia="ar-SA"/>
        </w:rPr>
        <w:t>, para que o patrimônio histórico dessa instituição seja preservado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44BCF487" w14:textId="22DFA132" w:rsidR="001E0A4A" w:rsidRDefault="0097687B" w:rsidP="0097687B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Por fim, reafirmo a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 ARQUIVOBRAS GESTÃO DE DOCUMENTOS EIRELI não comprovou prestar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atividades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dessa naturez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a, logo,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</w:t>
      </w:r>
      <w:r w:rsidR="00CB4AC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inabilitada 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>do certame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por não haver</w:t>
      </w:r>
      <w:r w:rsidR="001E0A4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semelhança entre os serviços prestados.</w:t>
      </w:r>
    </w:p>
    <w:p w14:paraId="0DC56892" w14:textId="77777777" w:rsidR="001E0A4A" w:rsidRDefault="001E0A4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2739C344" w14:textId="4671909B" w:rsidR="005354AA" w:rsidRPr="001B00B9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66D4E81C" w14:textId="77777777" w:rsidR="00231798" w:rsidRDefault="00231798" w:rsidP="001E0A4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1C4C506" w14:textId="3B9DE53A" w:rsidR="00F120F0" w:rsidRDefault="00747AA8" w:rsidP="00F120F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Por todo o exposto, julg</w:t>
      </w:r>
      <w:r w:rsidR="00F120F0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CA5798" w:rsidRPr="00CA5798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IM</w:t>
      </w:r>
      <w:r w:rsidR="009326E8" w:rsidRPr="00814469">
        <w:rPr>
          <w:rFonts w:eastAsia="Times New Roman" w:cs="Calibri"/>
          <w:b/>
          <w:kern w:val="1"/>
          <w:sz w:val="24"/>
          <w:szCs w:val="24"/>
          <w:lang w:eastAsia="ar-SA"/>
        </w:rPr>
        <w:t>P</w:t>
      </w: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ROCEDENTE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da empresa </w:t>
      </w:r>
      <w:r w:rsidR="00231798">
        <w:rPr>
          <w:rFonts w:eastAsia="Times New Roman" w:cs="Calibri"/>
          <w:bCs/>
          <w:kern w:val="1"/>
          <w:sz w:val="24"/>
          <w:szCs w:val="24"/>
          <w:lang w:eastAsia="ar-SA"/>
        </w:rPr>
        <w:t>ARQUIVOBRAS GESTÃO DE DOCUMENTOS EIRELI - ME</w:t>
      </w:r>
      <w:r w:rsidR="004C16A8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5E67BF59" w14:textId="336FB22B" w:rsidR="00F120F0" w:rsidRDefault="00F120F0" w:rsidP="00F120F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Desta maneira submet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</w:t>
      </w: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a presente decisão</w:t>
      </w:r>
      <w:bookmarkStart w:id="0" w:name="_GoBack"/>
      <w:bookmarkEnd w:id="0"/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à autoridade superior para apreciação e posterior ratificação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se assim entender</w:t>
      </w:r>
      <w:r w:rsidRPr="00A37A7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14:paraId="507DD39F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</w:p>
    <w:p w14:paraId="062C494A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6C045D25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</w:p>
    <w:p w14:paraId="7E76364B" w14:textId="68C62E49" w:rsidR="003F7F69" w:rsidRPr="001B00B9" w:rsidRDefault="0065439A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="006B7B5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Patricia</w:t>
      </w:r>
      <w:proofErr w:type="spellEnd"/>
      <w:r w:rsidR="006B7B5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="006B7B5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Michels</w:t>
      </w:r>
      <w:proofErr w:type="spellEnd"/>
      <w:r w:rsidR="006B7B5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="006B7B5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Sandrini</w:t>
      </w:r>
      <w:proofErr w:type="spellEnd"/>
    </w:p>
    <w:p w14:paraId="180DE425" w14:textId="77777777" w:rsidR="003F7F69" w:rsidRPr="00F120F0" w:rsidRDefault="003F7F69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F120F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Pregoeir</w:t>
      </w:r>
      <w:r w:rsidR="0065439A" w:rsidRPr="00F120F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</w:p>
    <w:sectPr w:rsidR="003F7F69" w:rsidRPr="00F120F0" w:rsidSect="00E102CD">
      <w:headerReference w:type="default" r:id="rId8"/>
      <w:footerReference w:type="default" r:id="rId9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251F9" w14:textId="77777777" w:rsidR="00626BCB" w:rsidRDefault="00626BCB" w:rsidP="00553B38">
      <w:pPr>
        <w:spacing w:after="0" w:line="240" w:lineRule="auto"/>
      </w:pPr>
      <w:r>
        <w:separator/>
      </w:r>
    </w:p>
  </w:endnote>
  <w:endnote w:type="continuationSeparator" w:id="0">
    <w:p w14:paraId="7513AAD5" w14:textId="77777777" w:rsidR="00626BCB" w:rsidRDefault="00626BCB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B14CC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2AC9AE87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16393169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2B293DBF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68328F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5302" w14:textId="77777777" w:rsidR="00626BCB" w:rsidRDefault="00626BCB" w:rsidP="00553B38">
      <w:pPr>
        <w:spacing w:after="0" w:line="240" w:lineRule="auto"/>
      </w:pPr>
      <w:r>
        <w:separator/>
      </w:r>
    </w:p>
  </w:footnote>
  <w:footnote w:type="continuationSeparator" w:id="0">
    <w:p w14:paraId="72AFA77D" w14:textId="77777777" w:rsidR="00626BCB" w:rsidRDefault="00626BCB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5046C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232F641E" wp14:editId="6C20A3AC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B33F30"/>
    <w:multiLevelType w:val="hybridMultilevel"/>
    <w:tmpl w:val="EF94B286"/>
    <w:lvl w:ilvl="0" w:tplc="5B2AC6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875EE"/>
    <w:rsid w:val="000B0AEC"/>
    <w:rsid w:val="000B21A9"/>
    <w:rsid w:val="000C1A82"/>
    <w:rsid w:val="000C772B"/>
    <w:rsid w:val="000F75E2"/>
    <w:rsid w:val="001065FD"/>
    <w:rsid w:val="00121074"/>
    <w:rsid w:val="00121A8E"/>
    <w:rsid w:val="0012209D"/>
    <w:rsid w:val="001339FB"/>
    <w:rsid w:val="00144757"/>
    <w:rsid w:val="00147E5D"/>
    <w:rsid w:val="0015109A"/>
    <w:rsid w:val="0015205E"/>
    <w:rsid w:val="00153CC4"/>
    <w:rsid w:val="001674BD"/>
    <w:rsid w:val="00175F95"/>
    <w:rsid w:val="00183345"/>
    <w:rsid w:val="0018554E"/>
    <w:rsid w:val="001A413E"/>
    <w:rsid w:val="001B00B9"/>
    <w:rsid w:val="001B77C8"/>
    <w:rsid w:val="001B79BA"/>
    <w:rsid w:val="001D1B10"/>
    <w:rsid w:val="001D5597"/>
    <w:rsid w:val="001D722B"/>
    <w:rsid w:val="001E0A4A"/>
    <w:rsid w:val="00231798"/>
    <w:rsid w:val="002611DD"/>
    <w:rsid w:val="00261B24"/>
    <w:rsid w:val="00273396"/>
    <w:rsid w:val="002824B2"/>
    <w:rsid w:val="00291E88"/>
    <w:rsid w:val="002A72D5"/>
    <w:rsid w:val="002D3B20"/>
    <w:rsid w:val="002D4589"/>
    <w:rsid w:val="003122AD"/>
    <w:rsid w:val="0034172B"/>
    <w:rsid w:val="003429D5"/>
    <w:rsid w:val="00366243"/>
    <w:rsid w:val="003756F0"/>
    <w:rsid w:val="003837DA"/>
    <w:rsid w:val="00385D13"/>
    <w:rsid w:val="003A0A0B"/>
    <w:rsid w:val="003B054C"/>
    <w:rsid w:val="003D007E"/>
    <w:rsid w:val="003D1EEA"/>
    <w:rsid w:val="003E1018"/>
    <w:rsid w:val="003F6EB1"/>
    <w:rsid w:val="003F7F69"/>
    <w:rsid w:val="00434229"/>
    <w:rsid w:val="00465744"/>
    <w:rsid w:val="00476703"/>
    <w:rsid w:val="00493E26"/>
    <w:rsid w:val="004B46D5"/>
    <w:rsid w:val="004B692A"/>
    <w:rsid w:val="004C01E2"/>
    <w:rsid w:val="004C16A8"/>
    <w:rsid w:val="004C3221"/>
    <w:rsid w:val="004F5FDB"/>
    <w:rsid w:val="00507129"/>
    <w:rsid w:val="00512549"/>
    <w:rsid w:val="00512746"/>
    <w:rsid w:val="0052083C"/>
    <w:rsid w:val="00527B1C"/>
    <w:rsid w:val="005354AA"/>
    <w:rsid w:val="00553B38"/>
    <w:rsid w:val="00557A7F"/>
    <w:rsid w:val="005648C1"/>
    <w:rsid w:val="00566EAC"/>
    <w:rsid w:val="00575B78"/>
    <w:rsid w:val="005932BD"/>
    <w:rsid w:val="005B529A"/>
    <w:rsid w:val="005D4866"/>
    <w:rsid w:val="005D768B"/>
    <w:rsid w:val="00603F6A"/>
    <w:rsid w:val="006172C6"/>
    <w:rsid w:val="00626BCB"/>
    <w:rsid w:val="0063689A"/>
    <w:rsid w:val="00637A0A"/>
    <w:rsid w:val="006531A8"/>
    <w:rsid w:val="0065439A"/>
    <w:rsid w:val="006772D4"/>
    <w:rsid w:val="006774C1"/>
    <w:rsid w:val="006941AB"/>
    <w:rsid w:val="00696979"/>
    <w:rsid w:val="006B6F57"/>
    <w:rsid w:val="006B7B55"/>
    <w:rsid w:val="006C4756"/>
    <w:rsid w:val="006C4F43"/>
    <w:rsid w:val="006D4CEA"/>
    <w:rsid w:val="006F08A7"/>
    <w:rsid w:val="006F533F"/>
    <w:rsid w:val="00710E18"/>
    <w:rsid w:val="00746A3C"/>
    <w:rsid w:val="00747841"/>
    <w:rsid w:val="00747AA8"/>
    <w:rsid w:val="007508BD"/>
    <w:rsid w:val="007B6731"/>
    <w:rsid w:val="007C3B99"/>
    <w:rsid w:val="007D6967"/>
    <w:rsid w:val="007E37C8"/>
    <w:rsid w:val="007F29EC"/>
    <w:rsid w:val="00814469"/>
    <w:rsid w:val="008255EA"/>
    <w:rsid w:val="0084298F"/>
    <w:rsid w:val="00876D45"/>
    <w:rsid w:val="00895BAC"/>
    <w:rsid w:val="008B08E3"/>
    <w:rsid w:val="008D3878"/>
    <w:rsid w:val="008D6033"/>
    <w:rsid w:val="008E1B0C"/>
    <w:rsid w:val="00925675"/>
    <w:rsid w:val="009326E8"/>
    <w:rsid w:val="00933DB2"/>
    <w:rsid w:val="00972478"/>
    <w:rsid w:val="00974A21"/>
    <w:rsid w:val="0097687B"/>
    <w:rsid w:val="00996297"/>
    <w:rsid w:val="009B689A"/>
    <w:rsid w:val="009D1030"/>
    <w:rsid w:val="00A032BA"/>
    <w:rsid w:val="00A26EB2"/>
    <w:rsid w:val="00A53FB1"/>
    <w:rsid w:val="00A54BB4"/>
    <w:rsid w:val="00A641A3"/>
    <w:rsid w:val="00A664E5"/>
    <w:rsid w:val="00A74828"/>
    <w:rsid w:val="00A90561"/>
    <w:rsid w:val="00A93FB0"/>
    <w:rsid w:val="00AA2C75"/>
    <w:rsid w:val="00AA4134"/>
    <w:rsid w:val="00AA5580"/>
    <w:rsid w:val="00AA6BEE"/>
    <w:rsid w:val="00AE724C"/>
    <w:rsid w:val="00B12C59"/>
    <w:rsid w:val="00B146E2"/>
    <w:rsid w:val="00B16E95"/>
    <w:rsid w:val="00B7724D"/>
    <w:rsid w:val="00B87732"/>
    <w:rsid w:val="00B87B1F"/>
    <w:rsid w:val="00BC3E28"/>
    <w:rsid w:val="00BE3A67"/>
    <w:rsid w:val="00BF1CBD"/>
    <w:rsid w:val="00C16180"/>
    <w:rsid w:val="00C2232D"/>
    <w:rsid w:val="00C24ACF"/>
    <w:rsid w:val="00C479C9"/>
    <w:rsid w:val="00C55137"/>
    <w:rsid w:val="00C614A0"/>
    <w:rsid w:val="00CA2A61"/>
    <w:rsid w:val="00CA5798"/>
    <w:rsid w:val="00CB4813"/>
    <w:rsid w:val="00CB4AC2"/>
    <w:rsid w:val="00CC1F45"/>
    <w:rsid w:val="00D1022A"/>
    <w:rsid w:val="00D12830"/>
    <w:rsid w:val="00D575E8"/>
    <w:rsid w:val="00D57BB4"/>
    <w:rsid w:val="00D67AC1"/>
    <w:rsid w:val="00D8184B"/>
    <w:rsid w:val="00D8387D"/>
    <w:rsid w:val="00DD0E9A"/>
    <w:rsid w:val="00DD5D7A"/>
    <w:rsid w:val="00E102CD"/>
    <w:rsid w:val="00E20F5B"/>
    <w:rsid w:val="00E36BB4"/>
    <w:rsid w:val="00E420CA"/>
    <w:rsid w:val="00EA33E9"/>
    <w:rsid w:val="00EC724C"/>
    <w:rsid w:val="00EE26B6"/>
    <w:rsid w:val="00EE63AE"/>
    <w:rsid w:val="00F120F0"/>
    <w:rsid w:val="00F15D4A"/>
    <w:rsid w:val="00F429B8"/>
    <w:rsid w:val="00F4406B"/>
    <w:rsid w:val="00F51727"/>
    <w:rsid w:val="00F65AB1"/>
    <w:rsid w:val="00F67ADE"/>
    <w:rsid w:val="00F8675F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3121CB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1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AA5580"/>
    <w:rPr>
      <w:color w:val="605E5C"/>
      <w:shd w:val="clear" w:color="auto" w:fill="E1DFDD"/>
    </w:rPr>
  </w:style>
  <w:style w:type="character" w:customStyle="1" w:styleId="PargrafodaListaChar">
    <w:name w:val="Parágrafo da Lista Char"/>
    <w:link w:val="PargrafodaLista"/>
    <w:uiPriority w:val="99"/>
    <w:rsid w:val="00D12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@udesc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1125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PATRICIA MICHELS SANDRINI</cp:lastModifiedBy>
  <cp:revision>26</cp:revision>
  <cp:lastPrinted>2018-04-26T17:44:00Z</cp:lastPrinted>
  <dcterms:created xsi:type="dcterms:W3CDTF">2022-02-14T16:27:00Z</dcterms:created>
  <dcterms:modified xsi:type="dcterms:W3CDTF">2022-04-04T20:30:00Z</dcterms:modified>
</cp:coreProperties>
</file>